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5C3106" w14:textId="77777777" w:rsidR="008B5E37" w:rsidRDefault="008B5E37" w:rsidP="008E58B0">
      <w:pPr>
        <w:spacing w:after="0" w:line="240" w:lineRule="auto"/>
        <w:jc w:val="both"/>
      </w:pPr>
    </w:p>
    <w:p w14:paraId="68D16B60" w14:textId="02F34BA3" w:rsidR="008E58B0" w:rsidRPr="00312B67" w:rsidRDefault="007D6DA8" w:rsidP="009F6B90">
      <w:pPr>
        <w:spacing w:after="0" w:line="240" w:lineRule="auto"/>
        <w:jc w:val="center"/>
        <w:rPr>
          <w:b/>
          <w:smallCaps/>
          <w:color w:val="0070C0"/>
          <w:sz w:val="32"/>
          <w:szCs w:val="32"/>
        </w:rPr>
      </w:pPr>
      <w:r w:rsidRPr="00685D34">
        <w:rPr>
          <w:b/>
          <w:smallCaps/>
          <w:color w:val="ED7D31" w:themeColor="accent2"/>
          <w:sz w:val="32"/>
          <w:szCs w:val="32"/>
        </w:rPr>
        <w:t>L</w:t>
      </w:r>
      <w:r w:rsidRPr="00312B67">
        <w:rPr>
          <w:b/>
          <w:smallCaps/>
          <w:color w:val="0070C0"/>
          <w:sz w:val="32"/>
          <w:szCs w:val="32"/>
        </w:rPr>
        <w:t>ettre aux organisations professionnelles</w:t>
      </w:r>
      <w:r w:rsidR="00645FB3">
        <w:rPr>
          <w:b/>
          <w:smallCaps/>
          <w:color w:val="0070C0"/>
          <w:sz w:val="32"/>
          <w:szCs w:val="32"/>
        </w:rPr>
        <w:t xml:space="preserve"> n</w:t>
      </w:r>
      <w:r w:rsidR="00645FB3" w:rsidRPr="00645FB3">
        <w:rPr>
          <w:b/>
          <w:smallCaps/>
          <w:color w:val="0070C0"/>
          <w:sz w:val="28"/>
          <w:szCs w:val="28"/>
        </w:rPr>
        <w:t>°</w:t>
      </w:r>
      <w:r w:rsidR="00645FB3" w:rsidRPr="00645FB3">
        <w:rPr>
          <w:b/>
          <w:smallCaps/>
          <w:color w:val="0070C0"/>
          <w:sz w:val="32"/>
          <w:szCs w:val="32"/>
        </w:rPr>
        <w:t>3</w:t>
      </w:r>
    </w:p>
    <w:p w14:paraId="4511248E" w14:textId="77777777" w:rsidR="008E58B0" w:rsidRDefault="008E58B0" w:rsidP="008E58B0">
      <w:pPr>
        <w:spacing w:after="0" w:line="240" w:lineRule="auto"/>
        <w:jc w:val="both"/>
      </w:pPr>
    </w:p>
    <w:p w14:paraId="3DB43DE4" w14:textId="77777777" w:rsidR="008E58B0" w:rsidRDefault="008E58B0" w:rsidP="008E58B0">
      <w:pPr>
        <w:spacing w:after="0" w:line="240" w:lineRule="auto"/>
        <w:jc w:val="both"/>
      </w:pPr>
    </w:p>
    <w:p w14:paraId="68398E6D" w14:textId="77777777" w:rsidR="009F79BC" w:rsidRPr="004E47A8" w:rsidRDefault="00224AD3" w:rsidP="009F79BC">
      <w:pPr>
        <w:spacing w:after="0" w:line="240" w:lineRule="auto"/>
        <w:jc w:val="both"/>
        <w:rPr>
          <w:b/>
        </w:rPr>
      </w:pPr>
      <w:r w:rsidRPr="00224AD3">
        <w:rPr>
          <w:b/>
          <w:color w:val="ED7D31" w:themeColor="accent2"/>
        </w:rPr>
        <w:sym w:font="Webdings" w:char="F034"/>
      </w:r>
      <w:r w:rsidR="009F79BC">
        <w:rPr>
          <w:b/>
          <w:color w:val="ED7D31" w:themeColor="accent2"/>
          <w:sz w:val="32"/>
          <w:szCs w:val="32"/>
        </w:rPr>
        <w:t>C</w:t>
      </w:r>
      <w:r w:rsidR="009F79BC">
        <w:rPr>
          <w:b/>
          <w:color w:val="0070C0"/>
        </w:rPr>
        <w:t>ontrat</w:t>
      </w:r>
      <w:r w:rsidR="008E58B0" w:rsidRPr="00312B67">
        <w:rPr>
          <w:b/>
          <w:color w:val="0070C0"/>
        </w:rPr>
        <w:t xml:space="preserve"> </w:t>
      </w:r>
      <w:r w:rsidR="009F79BC" w:rsidRPr="009F79BC">
        <w:rPr>
          <w:b/>
          <w:color w:val="0070C0"/>
        </w:rPr>
        <w:t>de location de photocopieur / de financement / de maintenance – Poi</w:t>
      </w:r>
      <w:bookmarkStart w:id="0" w:name="_GoBack"/>
      <w:bookmarkEnd w:id="0"/>
      <w:r w:rsidR="009F79BC" w:rsidRPr="009F79BC">
        <w:rPr>
          <w:b/>
          <w:color w:val="0070C0"/>
        </w:rPr>
        <w:t>nt d’attention</w:t>
      </w:r>
    </w:p>
    <w:p w14:paraId="0319E85B" w14:textId="77777777" w:rsidR="009F79BC" w:rsidRDefault="009F79BC" w:rsidP="009F79BC">
      <w:pPr>
        <w:spacing w:after="0" w:line="240" w:lineRule="auto"/>
        <w:jc w:val="both"/>
      </w:pPr>
    </w:p>
    <w:p w14:paraId="13F3AF19" w14:textId="77777777" w:rsidR="009F79BC" w:rsidRDefault="009F79BC" w:rsidP="009F79BC">
      <w:pPr>
        <w:spacing w:after="0" w:line="240" w:lineRule="auto"/>
        <w:jc w:val="both"/>
      </w:pPr>
      <w:r>
        <w:t>La location de matériels de bureautique est souvent complexe sur le plan contractuel puisque la société proposant le matériel n’est souvent pas celle qui va le louer. Elle propose en revanche le contrat de maintenance souvent avec des gratuités temporaires.</w:t>
      </w:r>
    </w:p>
    <w:p w14:paraId="069102DE" w14:textId="77777777" w:rsidR="009F79BC" w:rsidRDefault="009F79BC" w:rsidP="009F79BC">
      <w:pPr>
        <w:spacing w:after="0" w:line="240" w:lineRule="auto"/>
        <w:jc w:val="both"/>
      </w:pPr>
    </w:p>
    <w:p w14:paraId="0427AC49" w14:textId="7318B928" w:rsidR="009F79BC" w:rsidRDefault="009F79BC" w:rsidP="009F79BC">
      <w:pPr>
        <w:spacing w:after="0" w:line="240" w:lineRule="auto"/>
        <w:jc w:val="both"/>
      </w:pPr>
      <w:r>
        <w:t>Le plus souvent le schéma contractuel est le suivant :</w:t>
      </w:r>
    </w:p>
    <w:p w14:paraId="16843349" w14:textId="77777777" w:rsidR="009F79BC" w:rsidRDefault="009F79BC" w:rsidP="009F79BC">
      <w:pPr>
        <w:spacing w:after="0" w:line="240" w:lineRule="auto"/>
        <w:jc w:val="both"/>
      </w:pPr>
    </w:p>
    <w:p w14:paraId="01091163" w14:textId="77777777" w:rsidR="009F79BC" w:rsidRDefault="009F79BC" w:rsidP="009F79BC">
      <w:pPr>
        <w:pStyle w:val="Paragraphedeliste"/>
        <w:numPr>
          <w:ilvl w:val="0"/>
          <w:numId w:val="3"/>
        </w:numPr>
        <w:contextualSpacing/>
        <w:jc w:val="both"/>
      </w:pPr>
      <w:r>
        <w:t>L’entreprise de bureautique propose un coût global pour obtenir un accord du client ;</w:t>
      </w:r>
    </w:p>
    <w:p w14:paraId="53ECC487" w14:textId="77777777" w:rsidR="009F79BC" w:rsidRDefault="009F79BC" w:rsidP="009F79BC">
      <w:pPr>
        <w:pStyle w:val="Paragraphedeliste"/>
        <w:numPr>
          <w:ilvl w:val="0"/>
          <w:numId w:val="3"/>
        </w:numPr>
        <w:contextualSpacing/>
        <w:jc w:val="both"/>
      </w:pPr>
      <w:r>
        <w:t>Elle vend le matériel à une société de leasing à un prix que le client ne connait pas et ne pourra pas d’ailleurs obtenir ;</w:t>
      </w:r>
    </w:p>
    <w:p w14:paraId="3D3C4669" w14:textId="30788B5A" w:rsidR="009F79BC" w:rsidRDefault="009F79BC" w:rsidP="009F79BC">
      <w:pPr>
        <w:pStyle w:val="Paragraphedeliste"/>
        <w:numPr>
          <w:ilvl w:val="0"/>
          <w:numId w:val="3"/>
        </w:numPr>
        <w:contextualSpacing/>
        <w:jc w:val="both"/>
      </w:pPr>
      <w:r>
        <w:t>La société de crédit-bail loue ensuite le matériel qu’elle a acheté à l’entreprise de bureautique, sans souvent l’avoir détenu, celui-ci é</w:t>
      </w:r>
      <w:r w:rsidR="009D1961">
        <w:t>tant directement livré chez le c</w:t>
      </w:r>
      <w:r>
        <w:t>lient.</w:t>
      </w:r>
    </w:p>
    <w:p w14:paraId="4C660781" w14:textId="77777777" w:rsidR="009F79BC" w:rsidRDefault="009F79BC" w:rsidP="009F79BC">
      <w:pPr>
        <w:spacing w:after="0" w:line="240" w:lineRule="auto"/>
        <w:jc w:val="both"/>
      </w:pPr>
    </w:p>
    <w:p w14:paraId="013AC625" w14:textId="77777777" w:rsidR="009F79BC" w:rsidRDefault="009F79BC" w:rsidP="009F79BC">
      <w:pPr>
        <w:spacing w:after="0" w:line="240" w:lineRule="auto"/>
        <w:jc w:val="both"/>
      </w:pPr>
      <w:r>
        <w:t>En cas de difficulté avec la société de bureautique, le client va avoir tendance à interrompre le paiement des loyers alors même que le créancier des loyers n’est pas la société de bureautique mais la société de crédit-bail.</w:t>
      </w:r>
    </w:p>
    <w:p w14:paraId="46D02A98" w14:textId="77777777" w:rsidR="009F79BC" w:rsidRDefault="009F79BC" w:rsidP="009F79BC">
      <w:pPr>
        <w:spacing w:after="0" w:line="240" w:lineRule="auto"/>
        <w:jc w:val="both"/>
      </w:pPr>
    </w:p>
    <w:p w14:paraId="3AFEE90E" w14:textId="77777777" w:rsidR="009F79BC" w:rsidRDefault="009F79BC" w:rsidP="009F79BC">
      <w:pPr>
        <w:spacing w:after="0" w:line="240" w:lineRule="auto"/>
        <w:jc w:val="both"/>
      </w:pPr>
      <w:r>
        <w:t>De tels montages rendent difficile la défense par les clients de leurs intérêts, par exemple si la maintenance est mal assurée.</w:t>
      </w:r>
    </w:p>
    <w:p w14:paraId="603F893D" w14:textId="77777777" w:rsidR="009F79BC" w:rsidRDefault="009F79BC" w:rsidP="009F79BC">
      <w:pPr>
        <w:spacing w:after="0" w:line="240" w:lineRule="auto"/>
        <w:jc w:val="both"/>
      </w:pPr>
    </w:p>
    <w:p w14:paraId="0080CA1F" w14:textId="77777777" w:rsidR="009F79BC" w:rsidRDefault="009F79BC" w:rsidP="009F79BC">
      <w:pPr>
        <w:spacing w:after="0" w:line="240" w:lineRule="auto"/>
        <w:jc w:val="both"/>
      </w:pPr>
      <w:r>
        <w:t>Ils sont donc à appréhender avec prudence comme le démontrent les contentieux que nous devons suivre en la matière, le client n’étant pas en situation favorable pour défendre ses intérêts. Les contrats sont en effet très verrouillés.</w:t>
      </w:r>
    </w:p>
    <w:p w14:paraId="67D6BC62" w14:textId="77777777" w:rsidR="009F79BC" w:rsidRDefault="009F79BC" w:rsidP="009F79BC">
      <w:pPr>
        <w:spacing w:after="0" w:line="240" w:lineRule="auto"/>
        <w:jc w:val="both"/>
      </w:pPr>
    </w:p>
    <w:p w14:paraId="3405F37D" w14:textId="1B86B5FE" w:rsidR="009F79BC" w:rsidRDefault="009F79BC" w:rsidP="009F79BC">
      <w:pPr>
        <w:spacing w:after="0" w:line="240" w:lineRule="auto"/>
        <w:jc w:val="both"/>
      </w:pPr>
      <w:r>
        <w:t>Il est en toute hypothèse essentiel que :</w:t>
      </w:r>
    </w:p>
    <w:p w14:paraId="1A0090E4" w14:textId="77777777" w:rsidR="009D1961" w:rsidRDefault="009D1961" w:rsidP="009F79BC">
      <w:pPr>
        <w:spacing w:after="0" w:line="240" w:lineRule="auto"/>
        <w:jc w:val="both"/>
      </w:pPr>
    </w:p>
    <w:p w14:paraId="635AD953" w14:textId="77777777" w:rsidR="009F79BC" w:rsidRDefault="009F79BC" w:rsidP="009F79BC">
      <w:pPr>
        <w:pStyle w:val="Paragraphedeliste"/>
        <w:numPr>
          <w:ilvl w:val="0"/>
          <w:numId w:val="3"/>
        </w:numPr>
        <w:contextualSpacing/>
        <w:jc w:val="both"/>
      </w:pPr>
      <w:r>
        <w:t>Le contrat de crédit-bail donne une liste précise des matériels concernés et de leurs numéros de séries ;</w:t>
      </w:r>
    </w:p>
    <w:p w14:paraId="2F5039F8" w14:textId="77777777" w:rsidR="009F79BC" w:rsidRDefault="009F79BC" w:rsidP="009F79BC">
      <w:pPr>
        <w:pStyle w:val="Paragraphedeliste"/>
        <w:numPr>
          <w:ilvl w:val="0"/>
          <w:numId w:val="3"/>
        </w:numPr>
        <w:contextualSpacing/>
        <w:jc w:val="both"/>
      </w:pPr>
      <w:r>
        <w:t>Et de bien vérifier que les matériels livrés correspondent à ceux loués avant de signer le bon de livraison.</w:t>
      </w:r>
    </w:p>
    <w:p w14:paraId="33CC9964" w14:textId="77777777" w:rsidR="009F79BC" w:rsidRDefault="009F79BC" w:rsidP="009F79BC">
      <w:pPr>
        <w:spacing w:after="0" w:line="240" w:lineRule="auto"/>
        <w:jc w:val="both"/>
      </w:pPr>
    </w:p>
    <w:p w14:paraId="4B2550F1" w14:textId="05C12FFC" w:rsidR="009F79BC" w:rsidRDefault="009F79BC" w:rsidP="009F79BC">
      <w:pPr>
        <w:spacing w:after="0" w:line="240" w:lineRule="auto"/>
        <w:jc w:val="both"/>
      </w:pPr>
      <w:r>
        <w:t>Ces précautions sont aussi à prendre lors de renouvellement de contrat en cas de changement de crédit-bailleur suite à une nouvelle offre de la société de bureautique.</w:t>
      </w:r>
    </w:p>
    <w:p w14:paraId="6AF46232" w14:textId="48B87A53" w:rsidR="00977895" w:rsidRDefault="00977895" w:rsidP="009F79BC">
      <w:pPr>
        <w:spacing w:after="0" w:line="240" w:lineRule="auto"/>
        <w:jc w:val="both"/>
      </w:pPr>
    </w:p>
    <w:p w14:paraId="5A47ECC6" w14:textId="77777777" w:rsidR="008612DC" w:rsidRDefault="008612DC" w:rsidP="008E58B0">
      <w:pPr>
        <w:spacing w:after="0" w:line="240" w:lineRule="auto"/>
        <w:jc w:val="both"/>
      </w:pPr>
    </w:p>
    <w:p w14:paraId="3D2CE69A" w14:textId="77777777" w:rsidR="00685D34" w:rsidRPr="00685D34" w:rsidRDefault="00685D34" w:rsidP="00685D34">
      <w:pPr>
        <w:spacing w:after="0" w:line="240" w:lineRule="auto"/>
        <w:jc w:val="center"/>
        <w:rPr>
          <w:color w:val="ED7D31" w:themeColor="accent2"/>
        </w:rPr>
      </w:pPr>
      <w:r w:rsidRPr="00685D34">
        <w:rPr>
          <w:color w:val="ED7D31" w:themeColor="accent2"/>
        </w:rPr>
        <w:sym w:font="Wingdings" w:char="F0AF"/>
      </w:r>
    </w:p>
    <w:p w14:paraId="00E31B3E" w14:textId="77777777" w:rsidR="00977895" w:rsidRDefault="00977895" w:rsidP="008E58B0">
      <w:pPr>
        <w:spacing w:after="0" w:line="240" w:lineRule="auto"/>
        <w:jc w:val="both"/>
      </w:pPr>
    </w:p>
    <w:p w14:paraId="1C8A319A" w14:textId="3E7AC884" w:rsidR="009D1961" w:rsidRDefault="00224AD3" w:rsidP="009D1961">
      <w:pPr>
        <w:shd w:val="clear" w:color="auto" w:fill="FFFFFF"/>
        <w:spacing w:after="0" w:line="240" w:lineRule="auto"/>
        <w:rPr>
          <w:b/>
        </w:rPr>
      </w:pPr>
      <w:r w:rsidRPr="00224AD3">
        <w:rPr>
          <w:b/>
          <w:color w:val="ED7D31" w:themeColor="accent2"/>
        </w:rPr>
        <w:sym w:font="Webdings" w:char="F034"/>
      </w:r>
      <w:r w:rsidR="009D1961">
        <w:rPr>
          <w:b/>
          <w:color w:val="ED7D31" w:themeColor="accent2"/>
          <w:sz w:val="32"/>
          <w:szCs w:val="32"/>
        </w:rPr>
        <w:t>P</w:t>
      </w:r>
      <w:r w:rsidR="009D1961" w:rsidRPr="009D1961">
        <w:rPr>
          <w:b/>
          <w:color w:val="0070C0"/>
        </w:rPr>
        <w:t>rocédure d’exclusion – dans le silence des st</w:t>
      </w:r>
      <w:r w:rsidR="00934BB5">
        <w:rPr>
          <w:b/>
          <w:color w:val="0070C0"/>
        </w:rPr>
        <w:t>atuts, la décision relève de l’a</w:t>
      </w:r>
      <w:r w:rsidR="009D1961" w:rsidRPr="009D1961">
        <w:rPr>
          <w:b/>
          <w:color w:val="0070C0"/>
        </w:rPr>
        <w:t>ssemblée générale</w:t>
      </w:r>
    </w:p>
    <w:p w14:paraId="34EBAAEB" w14:textId="77777777" w:rsidR="008612DC" w:rsidRDefault="008612DC" w:rsidP="008E58B0">
      <w:pPr>
        <w:spacing w:after="0" w:line="240" w:lineRule="auto"/>
        <w:jc w:val="both"/>
      </w:pPr>
    </w:p>
    <w:p w14:paraId="05085888" w14:textId="77777777" w:rsidR="009D1961" w:rsidRDefault="009D1961" w:rsidP="009D1961">
      <w:pPr>
        <w:spacing w:after="0" w:line="240" w:lineRule="auto"/>
        <w:jc w:val="both"/>
      </w:pPr>
      <w:r>
        <w:t>En l’absence de disposition statutaire prévoyant expressément l’organe compétent pour décider d’une exclusion, la décision relève de l’assemblée générale. Une décision prise illégalement est nulle, l’adhérent étant réputé n’avoir jamais été exclu et ce dernier peut prétendre à des dommages et intérêts en cas de préjudice subi. En l’espèce, ils ont été évalués à 10 000€.</w:t>
      </w:r>
    </w:p>
    <w:p w14:paraId="2C390DA2" w14:textId="77777777" w:rsidR="009D1961" w:rsidRDefault="009D1961" w:rsidP="009D1961">
      <w:pPr>
        <w:spacing w:after="0" w:line="240" w:lineRule="auto"/>
        <w:jc w:val="both"/>
      </w:pPr>
    </w:p>
    <w:p w14:paraId="04E0CD5A" w14:textId="77777777" w:rsidR="009D1961" w:rsidRDefault="009D1961" w:rsidP="009D1961">
      <w:pPr>
        <w:spacing w:after="0" w:line="240" w:lineRule="auto"/>
        <w:jc w:val="both"/>
      </w:pPr>
    </w:p>
    <w:p w14:paraId="17655994" w14:textId="77777777" w:rsidR="009D1961" w:rsidRDefault="009D1961" w:rsidP="009D1961">
      <w:pPr>
        <w:spacing w:after="0" w:line="240" w:lineRule="auto"/>
        <w:jc w:val="both"/>
      </w:pPr>
    </w:p>
    <w:p w14:paraId="23CCCA7B" w14:textId="3F32B562" w:rsidR="009D1961" w:rsidRDefault="009D1961" w:rsidP="009D1961">
      <w:pPr>
        <w:spacing w:after="0" w:line="240" w:lineRule="auto"/>
        <w:jc w:val="both"/>
      </w:pPr>
      <w:r>
        <w:t xml:space="preserve">L’occasion de rappeler que les statuts (ou le règlement intérieur) doivent prendre soin de donner une liste non exhaustive de motifs graves pouvant justifier une exclusion et de détailler précisément la procédure à mettre en œuvre laquelle doit respecter les droits de défense afin d’éviter des contentieux de contestation des décisions prises. </w:t>
      </w:r>
    </w:p>
    <w:p w14:paraId="0280A73B" w14:textId="77777777" w:rsidR="009D1961" w:rsidRDefault="009D1961" w:rsidP="009D1961">
      <w:pPr>
        <w:spacing w:after="0" w:line="240" w:lineRule="auto"/>
        <w:jc w:val="both"/>
      </w:pPr>
    </w:p>
    <w:p w14:paraId="2E9F2AE6" w14:textId="77777777" w:rsidR="009D1961" w:rsidRDefault="009D1961" w:rsidP="009D1961">
      <w:pPr>
        <w:spacing w:after="0" w:line="240" w:lineRule="auto"/>
        <w:jc w:val="center"/>
      </w:pPr>
      <w:r>
        <w:t>[</w:t>
      </w:r>
      <w:r w:rsidRPr="00B55893">
        <w:t>CA Rennes 27-9-2022 n</w:t>
      </w:r>
      <w:r w:rsidRPr="00B55893">
        <w:rPr>
          <w:vertAlign w:val="superscript"/>
        </w:rPr>
        <w:t>o</w:t>
      </w:r>
      <w:r w:rsidRPr="00B55893">
        <w:t> 21/06317</w:t>
      </w:r>
      <w:r>
        <w:t xml:space="preserve"> sur renvoi après cassation </w:t>
      </w:r>
    </w:p>
    <w:p w14:paraId="2B3D8E4D" w14:textId="77777777" w:rsidR="009D1961" w:rsidRDefault="009D1961" w:rsidP="009D1961">
      <w:pPr>
        <w:spacing w:after="0" w:line="240" w:lineRule="auto"/>
        <w:jc w:val="center"/>
      </w:pPr>
      <w:r>
        <w:t xml:space="preserve">par </w:t>
      </w:r>
      <w:hyperlink r:id="rId7" w:history="1">
        <w:r w:rsidRPr="00B55893">
          <w:rPr>
            <w:rStyle w:val="Lienhypertexte"/>
            <w:b/>
            <w:bCs/>
          </w:rPr>
          <w:t>Cour de cassation, civile, Chambre commerciale, 4 décembre 2019, 17-31.094</w:t>
        </w:r>
      </w:hyperlink>
      <w:r>
        <w:t>]</w:t>
      </w:r>
    </w:p>
    <w:p w14:paraId="7388E428" w14:textId="77777777" w:rsidR="009D1961" w:rsidRDefault="009D1961" w:rsidP="009D1961">
      <w:pPr>
        <w:shd w:val="clear" w:color="auto" w:fill="FFFFFF"/>
        <w:spacing w:after="0" w:line="240" w:lineRule="auto"/>
        <w:rPr>
          <w:b/>
        </w:rPr>
      </w:pPr>
    </w:p>
    <w:p w14:paraId="39BAD6A1" w14:textId="77777777" w:rsidR="00977895" w:rsidRDefault="00977895" w:rsidP="008E58B0">
      <w:pPr>
        <w:spacing w:after="0" w:line="240" w:lineRule="auto"/>
        <w:jc w:val="both"/>
      </w:pPr>
    </w:p>
    <w:p w14:paraId="7E978512" w14:textId="77777777" w:rsidR="00685D34" w:rsidRPr="00685D34" w:rsidRDefault="00685D34" w:rsidP="00685D34">
      <w:pPr>
        <w:spacing w:after="0" w:line="240" w:lineRule="auto"/>
        <w:jc w:val="center"/>
        <w:rPr>
          <w:color w:val="ED7D31" w:themeColor="accent2"/>
        </w:rPr>
      </w:pPr>
      <w:r w:rsidRPr="00685D34">
        <w:rPr>
          <w:color w:val="ED7D31" w:themeColor="accent2"/>
        </w:rPr>
        <w:sym w:font="Wingdings" w:char="F0AF"/>
      </w:r>
    </w:p>
    <w:p w14:paraId="7451709F" w14:textId="4FC8AA6D" w:rsidR="00817C7E" w:rsidRDefault="00817C7E" w:rsidP="008E58B0">
      <w:pPr>
        <w:spacing w:after="0" w:line="240" w:lineRule="auto"/>
        <w:jc w:val="both"/>
      </w:pPr>
    </w:p>
    <w:p w14:paraId="67FFB41F" w14:textId="539904F5" w:rsidR="009D1961" w:rsidRDefault="00224AD3" w:rsidP="009D1961">
      <w:pPr>
        <w:shd w:val="clear" w:color="auto" w:fill="FFFFFF"/>
        <w:spacing w:after="0" w:line="240" w:lineRule="auto"/>
        <w:jc w:val="both"/>
        <w:rPr>
          <w:b/>
        </w:rPr>
      </w:pPr>
      <w:r w:rsidRPr="00224AD3">
        <w:rPr>
          <w:b/>
          <w:color w:val="ED7D31" w:themeColor="accent2"/>
        </w:rPr>
        <w:sym w:font="Webdings" w:char="F034"/>
      </w:r>
      <w:r w:rsidR="00817C7E" w:rsidRPr="00685D34">
        <w:rPr>
          <w:b/>
          <w:color w:val="ED7D31" w:themeColor="accent2"/>
          <w:sz w:val="32"/>
          <w:szCs w:val="32"/>
        </w:rPr>
        <w:t>L</w:t>
      </w:r>
      <w:r w:rsidR="009D1961" w:rsidRPr="009D1961">
        <w:rPr>
          <w:b/>
          <w:color w:val="0070C0"/>
        </w:rPr>
        <w:t xml:space="preserve">oi de finances 2023 – Quelques évolutions pouvant intéresser les organisations </w:t>
      </w:r>
      <w:r w:rsidR="009D1961">
        <w:rPr>
          <w:b/>
          <w:color w:val="0070C0"/>
        </w:rPr>
        <w:t>p</w:t>
      </w:r>
      <w:r w:rsidR="009D1961" w:rsidRPr="009D1961">
        <w:rPr>
          <w:b/>
          <w:color w:val="0070C0"/>
        </w:rPr>
        <w:t>rofessionnelles (non exhaustif)</w:t>
      </w:r>
    </w:p>
    <w:p w14:paraId="57ADEE57" w14:textId="77777777" w:rsidR="009D1961" w:rsidRDefault="009D1961" w:rsidP="009D1961">
      <w:pPr>
        <w:shd w:val="clear" w:color="auto" w:fill="FFFFFF"/>
        <w:spacing w:after="0" w:line="240" w:lineRule="auto"/>
        <w:rPr>
          <w:b/>
        </w:rPr>
      </w:pPr>
    </w:p>
    <w:p w14:paraId="469D5AB8" w14:textId="77777777" w:rsidR="009D1961" w:rsidRDefault="009D1961" w:rsidP="009D1961">
      <w:pPr>
        <w:pStyle w:val="Paragraphedeliste"/>
        <w:numPr>
          <w:ilvl w:val="0"/>
          <w:numId w:val="3"/>
        </w:numPr>
        <w:shd w:val="clear" w:color="auto" w:fill="FFFFFF"/>
        <w:contextualSpacing/>
        <w:jc w:val="both"/>
      </w:pPr>
      <w:r w:rsidRPr="00C80D6E">
        <w:t xml:space="preserve">Les Organisations professionnelles n’ont pas une activité d’intérêt général et elles ne peuvent donc pas recevoir de dons bénéficiant du régime du mécénat. Pour les OP ayant créé </w:t>
      </w:r>
      <w:r>
        <w:t>un Fonds de dotation par exemple, la loi de finances confirme que sont éligibles au mécénat les dons versés pour le renouvellement des forêts dans le cadre de d’une gestion durable (art 11 et 12).</w:t>
      </w:r>
    </w:p>
    <w:p w14:paraId="1DAE19E4" w14:textId="77777777" w:rsidR="009D1961" w:rsidRDefault="009D1961" w:rsidP="009D1961">
      <w:pPr>
        <w:pStyle w:val="Paragraphedeliste"/>
        <w:numPr>
          <w:ilvl w:val="0"/>
          <w:numId w:val="3"/>
        </w:numPr>
        <w:shd w:val="clear" w:color="auto" w:fill="FFFFFF"/>
        <w:contextualSpacing/>
        <w:jc w:val="both"/>
      </w:pPr>
      <w:r>
        <w:t>Le régime d’étalement de taxation des subventions d’investissement à l’impôt sur les sociétés est étendu aux subventions versées par les organismes créés par les Institutions UE et ce, même s’il ne s’agit pas d’organismes de forme publique (le doute sur l’inclusion des organismes publics créés par les institutions UE est donc clarifié et l’inclusion sécurisée et les organismes privés sont désormais inclus) (art 32 et 65).</w:t>
      </w:r>
    </w:p>
    <w:p w14:paraId="3B23F986" w14:textId="076B5748" w:rsidR="009D1961" w:rsidRDefault="009D1961" w:rsidP="009D1961">
      <w:pPr>
        <w:pStyle w:val="Paragraphedeliste"/>
        <w:numPr>
          <w:ilvl w:val="0"/>
          <w:numId w:val="3"/>
        </w:numPr>
        <w:shd w:val="clear" w:color="auto" w:fill="FFFFFF"/>
        <w:contextualSpacing/>
        <w:jc w:val="both"/>
      </w:pPr>
      <w:r>
        <w:t>La fraction des bénéfices taxables à l’IS au taux de 15 % est portée à 42.500 € (art 37)</w:t>
      </w:r>
      <w:r w:rsidR="00934BB5">
        <w:t>.</w:t>
      </w:r>
    </w:p>
    <w:p w14:paraId="6E285E45" w14:textId="3C002B24" w:rsidR="009D1961" w:rsidRDefault="009D1961" w:rsidP="009D1961">
      <w:pPr>
        <w:pStyle w:val="Paragraphedeliste"/>
        <w:numPr>
          <w:ilvl w:val="0"/>
          <w:numId w:val="3"/>
        </w:numPr>
        <w:shd w:val="clear" w:color="auto" w:fill="FFFFFF"/>
        <w:contextualSpacing/>
        <w:jc w:val="both"/>
      </w:pPr>
      <w:r>
        <w:t>Suppression en 2 ans de la CVAE pour les OP soumises aux impôts commerciaux (art 55)</w:t>
      </w:r>
      <w:r w:rsidR="00934BB5">
        <w:t>.</w:t>
      </w:r>
    </w:p>
    <w:p w14:paraId="1DB5800B" w14:textId="77777777" w:rsidR="009D1961" w:rsidRDefault="009D1961" w:rsidP="009D1961">
      <w:pPr>
        <w:pStyle w:val="Paragraphedeliste"/>
        <w:numPr>
          <w:ilvl w:val="0"/>
          <w:numId w:val="3"/>
        </w:numPr>
        <w:shd w:val="clear" w:color="auto" w:fill="FFFFFF"/>
        <w:contextualSpacing/>
        <w:jc w:val="both"/>
      </w:pPr>
      <w:r>
        <w:t>Concernant les baux de 12 ans et plus,</w:t>
      </w:r>
      <w:r w:rsidRPr="00F36D35">
        <w:t xml:space="preserve"> </w:t>
      </w:r>
      <w:r>
        <w:t xml:space="preserve">le droit fixe de 25 € est supprimé, ces baux étant désormais dans le champ de la formalité fusionnée (art. 22). Pour mémoire, ils doivent être publiés au fichier immobilier et la taxe de publicité foncière de 0,71498 % être payée. </w:t>
      </w:r>
    </w:p>
    <w:p w14:paraId="56FDECF4" w14:textId="77777777" w:rsidR="009D1961" w:rsidRDefault="009D1961" w:rsidP="009D1961">
      <w:pPr>
        <w:pStyle w:val="Paragraphedeliste"/>
        <w:numPr>
          <w:ilvl w:val="0"/>
          <w:numId w:val="3"/>
        </w:numPr>
        <w:shd w:val="clear" w:color="auto" w:fill="FFFFFF"/>
        <w:contextualSpacing/>
        <w:jc w:val="both"/>
      </w:pPr>
      <w:r>
        <w:t>Les documents comptables établis sur support électronique sur lesquels l’administration fiscale peut exercer un droit de communication doivent être conservés sous cette forme pendant six ans (même durée que sous format papier). Il n’y a donc plus de possibilité de choisir de changer de forme, concernant les documents établis sur support informatique, pour les trois dernières années (N+4 à N+6) (art 62).</w:t>
      </w:r>
    </w:p>
    <w:p w14:paraId="66782701" w14:textId="77777777" w:rsidR="009D1961" w:rsidRDefault="009D1961" w:rsidP="009D1961">
      <w:pPr>
        <w:shd w:val="clear" w:color="auto" w:fill="FFFFFF"/>
        <w:spacing w:after="0" w:line="240" w:lineRule="auto"/>
        <w:jc w:val="both"/>
      </w:pPr>
    </w:p>
    <w:p w14:paraId="2A7D2D74" w14:textId="2993A8D9" w:rsidR="009D1961" w:rsidRPr="00C80D6E" w:rsidRDefault="00934BB5" w:rsidP="003D1FAE">
      <w:pPr>
        <w:shd w:val="clear" w:color="auto" w:fill="FFFFFF"/>
        <w:spacing w:after="0" w:line="240" w:lineRule="auto"/>
        <w:ind w:left="708" w:firstLine="708"/>
        <w:jc w:val="center"/>
      </w:pPr>
      <w:r>
        <w:t>(L</w:t>
      </w:r>
      <w:r w:rsidR="009D1961">
        <w:t xml:space="preserve">oi </w:t>
      </w:r>
      <w:hyperlink r:id="rId8" w:anchor=":~:text=%2D%20Sous%20r%C3%A9serve%20de%20dispositions%20contraires,pour%20les%20autres%20dispositions%20fiscales." w:history="1">
        <w:r w:rsidR="009D1961" w:rsidRPr="001606D1">
          <w:rPr>
            <w:rStyle w:val="Lienhypertexte"/>
          </w:rPr>
          <w:t>2022-1726</w:t>
        </w:r>
      </w:hyperlink>
      <w:r w:rsidR="009D1961">
        <w:t xml:space="preserve"> du 30 décembre 2022, JO du 31)</w:t>
      </w:r>
    </w:p>
    <w:p w14:paraId="124032E5" w14:textId="2E648F44" w:rsidR="00685D34" w:rsidRDefault="00685D34" w:rsidP="00D963EE">
      <w:pPr>
        <w:spacing w:line="252" w:lineRule="auto"/>
        <w:ind w:left="708" w:firstLine="708"/>
        <w:jc w:val="both"/>
        <w:rPr>
          <w:rFonts w:cstheme="minorHAnsi"/>
        </w:rPr>
      </w:pPr>
      <w:r>
        <w:rPr>
          <w:noProof/>
          <w:lang w:eastAsia="fr-FR"/>
        </w:rPr>
        <w:drawing>
          <wp:inline distT="0" distB="0" distL="0" distR="0" wp14:anchorId="6E96455C" wp14:editId="15EFD7EE">
            <wp:extent cx="1409700" cy="156210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409700" cy="1562100"/>
                    </a:xfrm>
                    <a:prstGeom prst="rect">
                      <a:avLst/>
                    </a:prstGeom>
                  </pic:spPr>
                </pic:pic>
              </a:graphicData>
            </a:graphic>
          </wp:inline>
        </w:drawing>
      </w:r>
      <w:r w:rsidR="0024293A">
        <w:rPr>
          <w:rFonts w:cstheme="minorHAnsi"/>
        </w:rPr>
        <w:tab/>
      </w:r>
      <w:r w:rsidR="0024293A">
        <w:rPr>
          <w:rFonts w:cstheme="minorHAnsi"/>
        </w:rPr>
        <w:tab/>
      </w:r>
      <w:r w:rsidR="0024293A">
        <w:rPr>
          <w:rFonts w:cstheme="minorHAnsi"/>
        </w:rPr>
        <w:tab/>
      </w:r>
      <w:r w:rsidR="0024293A">
        <w:rPr>
          <w:noProof/>
          <w:lang w:eastAsia="fr-FR"/>
        </w:rPr>
        <w:drawing>
          <wp:inline distT="0" distB="0" distL="0" distR="0" wp14:anchorId="57381C6F" wp14:editId="1EA7C430">
            <wp:extent cx="1400175" cy="1533525"/>
            <wp:effectExtent l="0" t="0" r="9525" b="952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400175" cy="1533525"/>
                    </a:xfrm>
                    <a:prstGeom prst="rect">
                      <a:avLst/>
                    </a:prstGeom>
                  </pic:spPr>
                </pic:pic>
              </a:graphicData>
            </a:graphic>
          </wp:inline>
        </w:drawing>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24293A" w14:paraId="2E179296" w14:textId="77777777" w:rsidTr="00D963EE">
        <w:tc>
          <w:tcPr>
            <w:tcW w:w="4531" w:type="dxa"/>
          </w:tcPr>
          <w:p w14:paraId="07DFCE0B" w14:textId="7812A9FC" w:rsidR="0024293A" w:rsidRPr="00D963EE" w:rsidRDefault="0024293A" w:rsidP="0024293A">
            <w:pPr>
              <w:spacing w:line="252" w:lineRule="auto"/>
              <w:ind w:right="-246"/>
              <w:jc w:val="center"/>
              <w:rPr>
                <w:rFonts w:cstheme="minorHAnsi"/>
                <w:sz w:val="24"/>
                <w:szCs w:val="24"/>
              </w:rPr>
            </w:pPr>
            <w:r w:rsidRPr="00D963EE">
              <w:rPr>
                <w:rFonts w:cstheme="minorHAnsi"/>
                <w:b/>
                <w:color w:val="ED7D31" w:themeColor="accent2"/>
                <w:sz w:val="24"/>
                <w:szCs w:val="24"/>
              </w:rPr>
              <w:t>Alexis BECQUART</w:t>
            </w:r>
          </w:p>
        </w:tc>
        <w:tc>
          <w:tcPr>
            <w:tcW w:w="4531" w:type="dxa"/>
          </w:tcPr>
          <w:p w14:paraId="2FF03B16" w14:textId="1D0C5DE8" w:rsidR="0024293A" w:rsidRPr="00D963EE" w:rsidRDefault="0024293A" w:rsidP="0024293A">
            <w:pPr>
              <w:spacing w:line="252" w:lineRule="auto"/>
              <w:ind w:right="-246"/>
              <w:jc w:val="center"/>
              <w:rPr>
                <w:rFonts w:cstheme="minorHAnsi"/>
                <w:sz w:val="24"/>
                <w:szCs w:val="24"/>
              </w:rPr>
            </w:pPr>
            <w:r w:rsidRPr="00D963EE">
              <w:rPr>
                <w:rFonts w:cstheme="minorHAnsi"/>
                <w:b/>
                <w:color w:val="ED7D31" w:themeColor="accent2"/>
                <w:sz w:val="24"/>
                <w:szCs w:val="24"/>
              </w:rPr>
              <w:t>Capucine AUGUSTIN</w:t>
            </w:r>
          </w:p>
        </w:tc>
      </w:tr>
      <w:tr w:rsidR="0024293A" w14:paraId="6D8725AD" w14:textId="77777777" w:rsidTr="00D963EE">
        <w:tc>
          <w:tcPr>
            <w:tcW w:w="4531" w:type="dxa"/>
          </w:tcPr>
          <w:p w14:paraId="595F44EE" w14:textId="475F2458" w:rsidR="0024293A" w:rsidRDefault="0024293A" w:rsidP="0024293A">
            <w:pPr>
              <w:spacing w:line="252" w:lineRule="auto"/>
              <w:ind w:right="-246"/>
              <w:jc w:val="center"/>
              <w:rPr>
                <w:rFonts w:cstheme="minorHAnsi"/>
              </w:rPr>
            </w:pPr>
            <w:r>
              <w:rPr>
                <w:rFonts w:cstheme="minorHAnsi"/>
              </w:rPr>
              <w:t>Avocat associé</w:t>
            </w:r>
          </w:p>
        </w:tc>
        <w:tc>
          <w:tcPr>
            <w:tcW w:w="4531" w:type="dxa"/>
          </w:tcPr>
          <w:p w14:paraId="36E44065" w14:textId="17B28D31" w:rsidR="0024293A" w:rsidRDefault="0024293A" w:rsidP="0024293A">
            <w:pPr>
              <w:spacing w:line="252" w:lineRule="auto"/>
              <w:ind w:right="-246"/>
              <w:jc w:val="center"/>
              <w:rPr>
                <w:rFonts w:cstheme="minorHAnsi"/>
              </w:rPr>
            </w:pPr>
            <w:r>
              <w:rPr>
                <w:rFonts w:cstheme="minorHAnsi"/>
              </w:rPr>
              <w:t>Avocat</w:t>
            </w:r>
          </w:p>
        </w:tc>
      </w:tr>
      <w:tr w:rsidR="0024293A" w14:paraId="774AFC5B" w14:textId="77777777" w:rsidTr="00D963EE">
        <w:tc>
          <w:tcPr>
            <w:tcW w:w="4531" w:type="dxa"/>
          </w:tcPr>
          <w:p w14:paraId="5959252F" w14:textId="77777777" w:rsidR="0024293A" w:rsidRDefault="0024293A" w:rsidP="0024293A">
            <w:pPr>
              <w:spacing w:line="252" w:lineRule="auto"/>
              <w:ind w:right="-246"/>
              <w:jc w:val="center"/>
            </w:pPr>
          </w:p>
          <w:p w14:paraId="74BD4685" w14:textId="7E7B4027" w:rsidR="0024293A" w:rsidRDefault="00645FB3" w:rsidP="0024293A">
            <w:pPr>
              <w:spacing w:line="252" w:lineRule="auto"/>
              <w:ind w:right="-246"/>
              <w:jc w:val="center"/>
              <w:rPr>
                <w:rFonts w:cstheme="minorHAnsi"/>
              </w:rPr>
            </w:pPr>
            <w:hyperlink r:id="rId11" w:history="1">
              <w:r w:rsidR="0024293A" w:rsidRPr="000954EC">
                <w:rPr>
                  <w:rStyle w:val="Lienhypertexte"/>
                  <w:rFonts w:cstheme="minorHAnsi"/>
                </w:rPr>
                <w:t>abecquart@delsolavocats.com</w:t>
              </w:r>
            </w:hyperlink>
          </w:p>
        </w:tc>
        <w:tc>
          <w:tcPr>
            <w:tcW w:w="4531" w:type="dxa"/>
          </w:tcPr>
          <w:p w14:paraId="76B64D81" w14:textId="77777777" w:rsidR="0024293A" w:rsidRDefault="0024293A" w:rsidP="0024293A">
            <w:pPr>
              <w:tabs>
                <w:tab w:val="left" w:pos="993"/>
                <w:tab w:val="left" w:pos="5529"/>
              </w:tabs>
              <w:spacing w:line="252" w:lineRule="auto"/>
              <w:ind w:right="-246"/>
              <w:jc w:val="center"/>
              <w:rPr>
                <w:rFonts w:cstheme="minorHAnsi"/>
              </w:rPr>
            </w:pPr>
          </w:p>
          <w:p w14:paraId="1C475315" w14:textId="6F2DBE0F" w:rsidR="0024293A" w:rsidRDefault="00645FB3" w:rsidP="009D1961">
            <w:pPr>
              <w:tabs>
                <w:tab w:val="left" w:pos="993"/>
                <w:tab w:val="left" w:pos="5529"/>
              </w:tabs>
              <w:spacing w:line="252" w:lineRule="auto"/>
              <w:ind w:right="-246"/>
              <w:jc w:val="center"/>
              <w:rPr>
                <w:rFonts w:cstheme="minorHAnsi"/>
              </w:rPr>
            </w:pPr>
            <w:hyperlink r:id="rId12" w:history="1">
              <w:r w:rsidR="0024293A" w:rsidRPr="00E55F3D">
                <w:rPr>
                  <w:rStyle w:val="Lienhypertexte"/>
                  <w:rFonts w:cstheme="minorHAnsi"/>
                </w:rPr>
                <w:t>caugustin@delsolavocats.com</w:t>
              </w:r>
            </w:hyperlink>
          </w:p>
        </w:tc>
      </w:tr>
    </w:tbl>
    <w:p w14:paraId="0CB42392" w14:textId="77777777" w:rsidR="0024293A" w:rsidRDefault="0024293A" w:rsidP="009D1961">
      <w:pPr>
        <w:spacing w:line="252" w:lineRule="auto"/>
        <w:jc w:val="both"/>
        <w:rPr>
          <w:rFonts w:cstheme="minorHAnsi"/>
        </w:rPr>
      </w:pPr>
    </w:p>
    <w:sectPr w:rsidR="0024293A" w:rsidSect="00DF2401">
      <w:headerReference w:type="even" r:id="rId13"/>
      <w:headerReference w:type="default" r:id="rId14"/>
      <w:footerReference w:type="even" r:id="rId15"/>
      <w:footerReference w:type="default" r:id="rId16"/>
      <w:headerReference w:type="first" r:id="rId17"/>
      <w:footerReference w:type="first" r:id="rId18"/>
      <w:pgSz w:w="11906" w:h="16838"/>
      <w:pgMar w:top="1135" w:right="1417" w:bottom="1276" w:left="1417" w:header="708"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E8681F" w14:textId="77777777" w:rsidR="00C84FDE" w:rsidRDefault="00C84FDE" w:rsidP="00CC66DA">
      <w:pPr>
        <w:spacing w:after="0" w:line="240" w:lineRule="auto"/>
      </w:pPr>
      <w:r>
        <w:separator/>
      </w:r>
    </w:p>
  </w:endnote>
  <w:endnote w:type="continuationSeparator" w:id="0">
    <w:p w14:paraId="405BE187" w14:textId="77777777" w:rsidR="00C84FDE" w:rsidRDefault="00C84FDE" w:rsidP="00CC66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393D37" w14:textId="2B0618BA" w:rsidR="00DF2401" w:rsidRDefault="0099716C" w:rsidP="0099716C">
    <w:pPr>
      <w:pStyle w:val="Pieddepage"/>
      <w:jc w:val="right"/>
    </w:pPr>
    <w:r>
      <w:rPr>
        <w:rFonts w:ascii="Calibri" w:hAnsi="Calibri" w:cs="Calibri"/>
        <w:color w:val="000000"/>
        <w:sz w:val="16"/>
      </w:rPr>
      <w:fldChar w:fldCharType="begin"/>
    </w:r>
    <w:r w:rsidRPr="0099716C">
      <w:rPr>
        <w:rFonts w:ascii="Calibri" w:hAnsi="Calibri" w:cs="Calibri"/>
        <w:color w:val="000000"/>
        <w:sz w:val="16"/>
      </w:rPr>
      <w:instrText xml:space="preserve">  DOCVARIABLE EfId \* MERGEFORMAT </w:instrText>
    </w:r>
    <w:r>
      <w:instrText xml:space="preserve"> </w:instrText>
    </w:r>
    <w:r>
      <w:rPr>
        <w:rFonts w:ascii="Calibri" w:hAnsi="Calibri" w:cs="Calibri"/>
        <w:color w:val="000000"/>
        <w:sz w:val="16"/>
      </w:rPr>
      <w:fldChar w:fldCharType="separate"/>
    </w:r>
    <w:r>
      <w:rPr>
        <w:rFonts w:ascii="Calibri" w:hAnsi="Calibri" w:cs="Calibri"/>
        <w:color w:val="000000"/>
        <w:sz w:val="16"/>
      </w:rPr>
      <w:t>8650420.1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35A526" w14:textId="77777777" w:rsidR="00CC66DA" w:rsidRPr="007D6DA8" w:rsidRDefault="00CC66DA">
    <w:pPr>
      <w:pStyle w:val="Pieddepage"/>
      <w:rPr>
        <w:vanish/>
      </w:rPr>
    </w:pPr>
  </w:p>
  <w:p w14:paraId="730D7213" w14:textId="04B8E20D" w:rsidR="00CC66DA" w:rsidRPr="007D6DA8" w:rsidRDefault="0099716C" w:rsidP="0099716C">
    <w:pPr>
      <w:pStyle w:val="Pieddepage"/>
      <w:jc w:val="right"/>
      <w:rPr>
        <w:vanish/>
      </w:rPr>
    </w:pPr>
    <w:r>
      <w:rPr>
        <w:rFonts w:ascii="Calibri" w:hAnsi="Calibri" w:cs="Calibri"/>
        <w:vanish/>
        <w:color w:val="000000"/>
        <w:sz w:val="16"/>
      </w:rPr>
      <w:fldChar w:fldCharType="begin"/>
    </w:r>
    <w:r w:rsidRPr="0099716C">
      <w:rPr>
        <w:rFonts w:ascii="Calibri" w:hAnsi="Calibri" w:cs="Calibri"/>
        <w:vanish/>
        <w:color w:val="000000"/>
        <w:sz w:val="16"/>
      </w:rPr>
      <w:instrText xml:space="preserve">  DOCVARIABLE EfId \* MERGEFORMAT </w:instrText>
    </w:r>
    <w:r>
      <w:rPr>
        <w:vanish/>
      </w:rPr>
      <w:instrText xml:space="preserve"> </w:instrText>
    </w:r>
    <w:r>
      <w:rPr>
        <w:rFonts w:ascii="Calibri" w:hAnsi="Calibri" w:cs="Calibri"/>
        <w:vanish/>
        <w:color w:val="000000"/>
        <w:sz w:val="16"/>
      </w:rPr>
      <w:fldChar w:fldCharType="separate"/>
    </w:r>
    <w:r>
      <w:rPr>
        <w:rFonts w:ascii="Calibri" w:hAnsi="Calibri" w:cs="Calibri"/>
        <w:vanish/>
        <w:color w:val="000000"/>
        <w:sz w:val="16"/>
      </w:rPr>
      <w:t>8650420.1</w:t>
    </w:r>
    <w:r>
      <w:rPr>
        <w:vanish/>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40803D" w14:textId="675E4410" w:rsidR="00DF2401" w:rsidRDefault="0099716C" w:rsidP="0099716C">
    <w:pPr>
      <w:pStyle w:val="Pieddepage"/>
      <w:jc w:val="right"/>
    </w:pPr>
    <w:r>
      <w:rPr>
        <w:rFonts w:ascii="Calibri" w:hAnsi="Calibri" w:cs="Calibri"/>
        <w:color w:val="000000"/>
        <w:sz w:val="16"/>
      </w:rPr>
      <w:fldChar w:fldCharType="begin"/>
    </w:r>
    <w:r w:rsidRPr="0099716C">
      <w:rPr>
        <w:rFonts w:ascii="Calibri" w:hAnsi="Calibri" w:cs="Calibri"/>
        <w:color w:val="000000"/>
        <w:sz w:val="16"/>
      </w:rPr>
      <w:instrText xml:space="preserve">  DOCVARIABLE EfId \* MERGEFORMAT </w:instrText>
    </w:r>
    <w:r>
      <w:instrText xml:space="preserve"> </w:instrText>
    </w:r>
    <w:r>
      <w:rPr>
        <w:rFonts w:ascii="Calibri" w:hAnsi="Calibri" w:cs="Calibri"/>
        <w:color w:val="000000"/>
        <w:sz w:val="16"/>
      </w:rPr>
      <w:fldChar w:fldCharType="separate"/>
    </w:r>
    <w:r>
      <w:rPr>
        <w:rFonts w:ascii="Calibri" w:hAnsi="Calibri" w:cs="Calibri"/>
        <w:color w:val="000000"/>
        <w:sz w:val="16"/>
      </w:rPr>
      <w:t>8650420.1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055E78" w14:textId="77777777" w:rsidR="00C84FDE" w:rsidRDefault="00C84FDE" w:rsidP="00CC66DA">
      <w:pPr>
        <w:spacing w:after="0" w:line="240" w:lineRule="auto"/>
      </w:pPr>
      <w:r>
        <w:separator/>
      </w:r>
    </w:p>
  </w:footnote>
  <w:footnote w:type="continuationSeparator" w:id="0">
    <w:p w14:paraId="2F2C9BC1" w14:textId="77777777" w:rsidR="00C84FDE" w:rsidRDefault="00C84FDE" w:rsidP="00CC66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762272" w14:textId="77777777" w:rsidR="009F79BC" w:rsidRDefault="009F79BC">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EB37FE" w14:textId="6AE59255" w:rsidR="00CC66DA" w:rsidRDefault="007D6DA8" w:rsidP="00EF2378">
    <w:pPr>
      <w:pStyle w:val="En-tte"/>
    </w:pPr>
    <w:r w:rsidRPr="007D6DA8">
      <w:rPr>
        <w:noProof/>
        <w:lang w:eastAsia="fr-FR"/>
      </w:rPr>
      <w:drawing>
        <wp:inline distT="0" distB="0" distL="0" distR="0" wp14:anchorId="7E258EED" wp14:editId="006794D8">
          <wp:extent cx="1076325" cy="485775"/>
          <wp:effectExtent l="0" t="0" r="9525" b="9525"/>
          <wp:docPr id="1" name="Image 1" descr="C:\Users\adechenaud\Desktop\Pictos et logos\LOGO_PETIT (354 x 158.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echenaud\Desktop\Pictos et logos\LOGO_PETIT (354 x 158.jpg).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6325" cy="485775"/>
                  </a:xfrm>
                  <a:prstGeom prst="rect">
                    <a:avLst/>
                  </a:prstGeom>
                  <a:noFill/>
                  <a:ln>
                    <a:noFill/>
                  </a:ln>
                </pic:spPr>
              </pic:pic>
            </a:graphicData>
          </a:graphic>
        </wp:inline>
      </w:drawing>
    </w:r>
    <w:r w:rsidR="00971B46">
      <w:tab/>
    </w:r>
    <w:r w:rsidR="00971B46">
      <w:tab/>
    </w:r>
    <w:r w:rsidR="005159CE">
      <w:rPr>
        <w:noProof/>
        <w:lang w:eastAsia="fr-FR"/>
      </w:rPr>
      <w:drawing>
        <wp:inline distT="0" distB="0" distL="0" distR="0" wp14:anchorId="1B75A74C" wp14:editId="0B9FCFE0">
          <wp:extent cx="368135" cy="306780"/>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382388" cy="318658"/>
                  </a:xfrm>
                  <a:prstGeom prst="rect">
                    <a:avLst/>
                  </a:prstGeom>
                </pic:spPr>
              </pic:pic>
            </a:graphicData>
          </a:graphic>
        </wp:inline>
      </w:drawing>
    </w:r>
    <w:r w:rsidR="009F79BC">
      <w:rPr>
        <w:b/>
        <w:color w:val="ED7D31" w:themeColor="accent2"/>
        <w:sz w:val="24"/>
        <w:szCs w:val="24"/>
      </w:rPr>
      <w:t>Janvier 2023</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AD526B" w14:textId="77777777" w:rsidR="009F79BC" w:rsidRDefault="009F79BC">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F52627"/>
    <w:multiLevelType w:val="hybridMultilevel"/>
    <w:tmpl w:val="E120062C"/>
    <w:lvl w:ilvl="0" w:tplc="232CBB58">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15:restartNumberingAfterBreak="0">
    <w:nsid w:val="333F36D5"/>
    <w:multiLevelType w:val="hybridMultilevel"/>
    <w:tmpl w:val="F56A6B30"/>
    <w:lvl w:ilvl="0" w:tplc="6826E6C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7EA722F3"/>
    <w:multiLevelType w:val="hybridMultilevel"/>
    <w:tmpl w:val="34E47418"/>
    <w:lvl w:ilvl="0" w:tplc="2AE05C6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fId" w:val="8650420.1"/>
    <w:docVar w:name="EfIdVariable_Alignment" w:val="Right"/>
    <w:docVar w:name="EfIdVariable_CodeText" w:val="{{ DOCVARIABLE EfId \* MERGEFORMAT }}"/>
    <w:docVar w:name="EfIdVariable_ColorIndex" w:val="Black"/>
    <w:docVar w:name="EfIdVariable_Font" w:val="Calibri"/>
    <w:docVar w:name="EfIdVariable_IsEfIdActive" w:val="true"/>
    <w:docVar w:name="EfIdVariable_IsImanageDocument" w:val="true"/>
    <w:docVar w:name="EfIdVariable_IsOnAllPages" w:val="true"/>
    <w:docVar w:name="EfIdVariable_IsOnEvenPages" w:val="true"/>
    <w:docVar w:name="EfIdVariable_IsOnFirstPage" w:val="true"/>
    <w:docVar w:name="EfIdVariable_IsOnLastPage" w:val="true"/>
    <w:docVar w:name="EfIdVariable_IsOnOddPages" w:val="true"/>
    <w:docVar w:name="EfIdVariable_IsPositionSpecific" w:val="false"/>
    <w:docVar w:name="EfIdVariable_Location" w:val="Footer"/>
    <w:docVar w:name="EfIdVariable_Size" w:val="8"/>
  </w:docVars>
  <w:rsids>
    <w:rsidRoot w:val="008E58B0"/>
    <w:rsid w:val="000A0039"/>
    <w:rsid w:val="0015329F"/>
    <w:rsid w:val="001969DD"/>
    <w:rsid w:val="001C4996"/>
    <w:rsid w:val="001C4CA8"/>
    <w:rsid w:val="00224AD3"/>
    <w:rsid w:val="0024293A"/>
    <w:rsid w:val="00270878"/>
    <w:rsid w:val="002929CA"/>
    <w:rsid w:val="002C67EB"/>
    <w:rsid w:val="00312B67"/>
    <w:rsid w:val="003B209F"/>
    <w:rsid w:val="003D1FAE"/>
    <w:rsid w:val="004305D2"/>
    <w:rsid w:val="004307A7"/>
    <w:rsid w:val="00455424"/>
    <w:rsid w:val="004643F9"/>
    <w:rsid w:val="00477A67"/>
    <w:rsid w:val="00484168"/>
    <w:rsid w:val="00496240"/>
    <w:rsid w:val="004E0106"/>
    <w:rsid w:val="005159CE"/>
    <w:rsid w:val="005556D3"/>
    <w:rsid w:val="0056004A"/>
    <w:rsid w:val="00606D94"/>
    <w:rsid w:val="00615BF8"/>
    <w:rsid w:val="00626A6A"/>
    <w:rsid w:val="00645FB3"/>
    <w:rsid w:val="00685D34"/>
    <w:rsid w:val="006A51EC"/>
    <w:rsid w:val="006C513F"/>
    <w:rsid w:val="00725AFC"/>
    <w:rsid w:val="007514C5"/>
    <w:rsid w:val="007C4B2A"/>
    <w:rsid w:val="007D6DA8"/>
    <w:rsid w:val="00817C7E"/>
    <w:rsid w:val="008419F6"/>
    <w:rsid w:val="008612DC"/>
    <w:rsid w:val="008B5E37"/>
    <w:rsid w:val="008C22FA"/>
    <w:rsid w:val="008C70CF"/>
    <w:rsid w:val="008E58B0"/>
    <w:rsid w:val="00934BB5"/>
    <w:rsid w:val="00971B46"/>
    <w:rsid w:val="00977895"/>
    <w:rsid w:val="009846D3"/>
    <w:rsid w:val="0098715C"/>
    <w:rsid w:val="0099716C"/>
    <w:rsid w:val="009D1961"/>
    <w:rsid w:val="009E2AA5"/>
    <w:rsid w:val="009F6B90"/>
    <w:rsid w:val="009F79BC"/>
    <w:rsid w:val="00B0204D"/>
    <w:rsid w:val="00B62FB4"/>
    <w:rsid w:val="00B64AD5"/>
    <w:rsid w:val="00B81358"/>
    <w:rsid w:val="00BB1EA9"/>
    <w:rsid w:val="00BE4A10"/>
    <w:rsid w:val="00C84FDE"/>
    <w:rsid w:val="00C97B78"/>
    <w:rsid w:val="00CA67E2"/>
    <w:rsid w:val="00CB09E7"/>
    <w:rsid w:val="00CC66DA"/>
    <w:rsid w:val="00CE15C5"/>
    <w:rsid w:val="00CF5798"/>
    <w:rsid w:val="00D4204D"/>
    <w:rsid w:val="00D54382"/>
    <w:rsid w:val="00D71C65"/>
    <w:rsid w:val="00D963EE"/>
    <w:rsid w:val="00DA1D60"/>
    <w:rsid w:val="00DC12E0"/>
    <w:rsid w:val="00DF2401"/>
    <w:rsid w:val="00E12DBF"/>
    <w:rsid w:val="00E5215F"/>
    <w:rsid w:val="00EE3AD2"/>
    <w:rsid w:val="00EF20F5"/>
    <w:rsid w:val="00EF214A"/>
    <w:rsid w:val="00EF2378"/>
    <w:rsid w:val="00EF237D"/>
    <w:rsid w:val="00F37DB0"/>
    <w:rsid w:val="00F56D7C"/>
    <w:rsid w:val="00F631CC"/>
    <w:rsid w:val="00FC092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400F7BE"/>
  <w15:chartTrackingRefBased/>
  <w15:docId w15:val="{30825238-F921-4BD9-9D9A-73787F2D4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C66DA"/>
    <w:pPr>
      <w:tabs>
        <w:tab w:val="center" w:pos="4536"/>
        <w:tab w:val="right" w:pos="9072"/>
      </w:tabs>
      <w:spacing w:after="0" w:line="240" w:lineRule="auto"/>
    </w:pPr>
  </w:style>
  <w:style w:type="character" w:customStyle="1" w:styleId="En-tteCar">
    <w:name w:val="En-tête Car"/>
    <w:basedOn w:val="Policepardfaut"/>
    <w:link w:val="En-tte"/>
    <w:uiPriority w:val="99"/>
    <w:rsid w:val="00CC66DA"/>
  </w:style>
  <w:style w:type="paragraph" w:styleId="Pieddepage">
    <w:name w:val="footer"/>
    <w:basedOn w:val="Normal"/>
    <w:link w:val="PieddepageCar"/>
    <w:uiPriority w:val="99"/>
    <w:unhideWhenUsed/>
    <w:rsid w:val="00CC66D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C66DA"/>
  </w:style>
  <w:style w:type="table" w:styleId="Listeclaire-Accent3">
    <w:name w:val="Light List Accent 3"/>
    <w:basedOn w:val="TableauNormal"/>
    <w:uiPriority w:val="61"/>
    <w:rsid w:val="00CB09E7"/>
    <w:pPr>
      <w:spacing w:after="0" w:line="240" w:lineRule="auto"/>
    </w:pPr>
    <w:rPr>
      <w:rFonts w:eastAsiaTheme="minorEastAsia"/>
      <w:lang w:eastAsia="fr-FR"/>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character" w:styleId="Lienhypertexte">
    <w:name w:val="Hyperlink"/>
    <w:basedOn w:val="Policepardfaut"/>
    <w:uiPriority w:val="99"/>
    <w:unhideWhenUsed/>
    <w:rsid w:val="00496240"/>
    <w:rPr>
      <w:color w:val="0563C1" w:themeColor="hyperlink"/>
      <w:u w:val="single"/>
    </w:rPr>
  </w:style>
  <w:style w:type="character" w:styleId="Lienhypertextesuivivisit">
    <w:name w:val="FollowedHyperlink"/>
    <w:basedOn w:val="Policepardfaut"/>
    <w:uiPriority w:val="99"/>
    <w:semiHidden/>
    <w:unhideWhenUsed/>
    <w:rsid w:val="00496240"/>
    <w:rPr>
      <w:color w:val="954F72" w:themeColor="followedHyperlink"/>
      <w:u w:val="single"/>
    </w:rPr>
  </w:style>
  <w:style w:type="character" w:styleId="Marquedecommentaire">
    <w:name w:val="annotation reference"/>
    <w:basedOn w:val="Policepardfaut"/>
    <w:uiPriority w:val="99"/>
    <w:semiHidden/>
    <w:unhideWhenUsed/>
    <w:rsid w:val="00F631CC"/>
    <w:rPr>
      <w:sz w:val="16"/>
      <w:szCs w:val="16"/>
    </w:rPr>
  </w:style>
  <w:style w:type="paragraph" w:styleId="Commentaire">
    <w:name w:val="annotation text"/>
    <w:basedOn w:val="Normal"/>
    <w:link w:val="CommentaireCar"/>
    <w:uiPriority w:val="99"/>
    <w:semiHidden/>
    <w:unhideWhenUsed/>
    <w:rsid w:val="00F631CC"/>
    <w:pPr>
      <w:spacing w:line="240" w:lineRule="auto"/>
    </w:pPr>
    <w:rPr>
      <w:sz w:val="20"/>
      <w:szCs w:val="20"/>
    </w:rPr>
  </w:style>
  <w:style w:type="character" w:customStyle="1" w:styleId="CommentaireCar">
    <w:name w:val="Commentaire Car"/>
    <w:basedOn w:val="Policepardfaut"/>
    <w:link w:val="Commentaire"/>
    <w:uiPriority w:val="99"/>
    <w:semiHidden/>
    <w:rsid w:val="00F631CC"/>
    <w:rPr>
      <w:sz w:val="20"/>
      <w:szCs w:val="20"/>
    </w:rPr>
  </w:style>
  <w:style w:type="paragraph" w:styleId="Objetducommentaire">
    <w:name w:val="annotation subject"/>
    <w:basedOn w:val="Commentaire"/>
    <w:next w:val="Commentaire"/>
    <w:link w:val="ObjetducommentaireCar"/>
    <w:uiPriority w:val="99"/>
    <w:semiHidden/>
    <w:unhideWhenUsed/>
    <w:rsid w:val="00F631CC"/>
    <w:rPr>
      <w:b/>
      <w:bCs/>
    </w:rPr>
  </w:style>
  <w:style w:type="character" w:customStyle="1" w:styleId="ObjetducommentaireCar">
    <w:name w:val="Objet du commentaire Car"/>
    <w:basedOn w:val="CommentaireCar"/>
    <w:link w:val="Objetducommentaire"/>
    <w:uiPriority w:val="99"/>
    <w:semiHidden/>
    <w:rsid w:val="00F631CC"/>
    <w:rPr>
      <w:b/>
      <w:bCs/>
      <w:sz w:val="20"/>
      <w:szCs w:val="20"/>
    </w:rPr>
  </w:style>
  <w:style w:type="paragraph" w:styleId="Textedebulles">
    <w:name w:val="Balloon Text"/>
    <w:basedOn w:val="Normal"/>
    <w:link w:val="TextedebullesCar"/>
    <w:uiPriority w:val="99"/>
    <w:semiHidden/>
    <w:unhideWhenUsed/>
    <w:rsid w:val="00F631CC"/>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F631CC"/>
    <w:rPr>
      <w:rFonts w:ascii="Segoe UI" w:hAnsi="Segoe UI" w:cs="Segoe UI"/>
      <w:sz w:val="18"/>
      <w:szCs w:val="18"/>
    </w:rPr>
  </w:style>
  <w:style w:type="paragraph" w:styleId="Paragraphedeliste">
    <w:name w:val="List Paragraph"/>
    <w:basedOn w:val="Normal"/>
    <w:uiPriority w:val="34"/>
    <w:qFormat/>
    <w:rsid w:val="007D6DA8"/>
    <w:pPr>
      <w:spacing w:after="0" w:line="240" w:lineRule="auto"/>
      <w:ind w:left="720"/>
    </w:pPr>
    <w:rPr>
      <w:rFonts w:ascii="Calibri" w:hAnsi="Calibri" w:cs="Calibri"/>
    </w:rPr>
  </w:style>
  <w:style w:type="table" w:styleId="Grilledutableau">
    <w:name w:val="Table Grid"/>
    <w:basedOn w:val="TableauNormal"/>
    <w:uiPriority w:val="39"/>
    <w:rsid w:val="002429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0457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legifrance.gouv.fr/jorf/id/JORFTEXT000046845631" TargetMode="Externa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settings" Target="settings.xml" Id="rId3" /><Relationship Type="http://schemas.openxmlformats.org/officeDocument/2006/relationships/hyperlink" Target="https://www.legifrance.gouv.fr/juri/id/JURITEXT000039621768?init=true&amp;page=1&amp;query=17-31.094&amp;searchField=ALL&amp;tab_selection=all" TargetMode="External" Id="rId7" /><Relationship Type="http://schemas.openxmlformats.org/officeDocument/2006/relationships/hyperlink" Target="mailto:caugustin@delsolavocats.com" TargetMode="External" Id="rId12" /><Relationship Type="http://schemas.openxmlformats.org/officeDocument/2006/relationships/header" Target="header3.xml" Id="rId17" /><Relationship Type="http://schemas.openxmlformats.org/officeDocument/2006/relationships/styles" Target="styles.xml" Id="rId2" /><Relationship Type="http://schemas.openxmlformats.org/officeDocument/2006/relationships/footer" Target="footer2.xml" Id="rId16" /><Relationship Type="http://schemas.openxmlformats.org/officeDocument/2006/relationships/theme" Target="theme/theme1.xml" Id="rId20"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yperlink" Target="mailto:abecquart@delsolavocats.com" TargetMode="External" Id="rId11" /><Relationship Type="http://schemas.openxmlformats.org/officeDocument/2006/relationships/footnotes" Target="footnotes.xml" Id="rId5" /><Relationship Type="http://schemas.openxmlformats.org/officeDocument/2006/relationships/footer" Target="footer1.xml" Id="rId15" /><Relationship Type="http://schemas.openxmlformats.org/officeDocument/2006/relationships/image" Target="media/image2.png" Id="rId10" /><Relationship Type="http://schemas.openxmlformats.org/officeDocument/2006/relationships/fontTable" Target="fontTable.xml" Id="rId19" /><Relationship Type="http://schemas.openxmlformats.org/officeDocument/2006/relationships/webSettings" Target="webSettings.xml" Id="rId4" /><Relationship Type="http://schemas.openxmlformats.org/officeDocument/2006/relationships/image" Target="media/image1.png" Id="rId9" /><Relationship Type="http://schemas.openxmlformats.org/officeDocument/2006/relationships/header" Target="header2.xml" Id="rId14" /><Relationship Type="http://schemas.openxmlformats.org/officeDocument/2006/relationships/customXml" Target="/customXML/item.xml" Id="imanage.xml" /></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xml>��< ? x m l   v e r s i o n = " 1 . 0 "   e n c o d i n g = " u t f - 1 6 " ? >  
 < p r o p e r t i e s   x m l n s = " h t t p : / / w w w . i m a n a g e . c o m / w o r k / x m l s c h e m a " >  
     < d o c u m e n t i d > D E L S O L ! 8 6 5 0 4 2 0 . 1 < / d o c u m e n t i d >  
     < s e n d e r i d > V F R E T O N - C O L L A R D < / s e n d e r i d >  
     < s e n d e r e m a i l > V F R E T O N - C O L L A R D @ D E L S O L A V O C A T S . C O M < / s e n d e r e m a i l >  
     < l a s t m o d i f i e d > 2 0 2 3 - 0 1 - 3 0 T 1 4 : 4 0 : 0 0 . 0 0 0 0 0 0 0 + 0 1 : 0 0 < / l a s t m o d i f i e d >  
     < d a t a b a s e > D E L S O L < / d a t a b a s e >  
 < / p r o p e r t i e s > 
</file>

<file path=docProps/app.xml><?xml version="1.0" encoding="utf-8"?>
<Properties xmlns="http://schemas.openxmlformats.org/officeDocument/2006/extended-properties" xmlns:vt="http://schemas.openxmlformats.org/officeDocument/2006/docPropsVTypes">
  <Template>Normal.dotm</Template>
  <TotalTime>11</TotalTime>
  <Pages>2</Pages>
  <Words>834</Words>
  <Characters>4381</Characters>
  <Application>Microsoft Office Word</Application>
  <DocSecurity>0</DocSecurity>
  <Lines>104</Lines>
  <Paragraphs>45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Chasseriaux Véronique</dc:creator>
  <cp:keywords/>
  <dc:description/>
  <cp:lastModifiedBy>Freton Collard Virginie</cp:lastModifiedBy>
  <cp:revision>6</cp:revision>
  <cp:lastPrinted>2022-10-24T10:17:00Z</cp:lastPrinted>
  <dcterms:created xsi:type="dcterms:W3CDTF">2023-01-30T13:19:00Z</dcterms:created>
  <dcterms:modified xsi:type="dcterms:W3CDTF">2023-01-30T13:40:00Z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Variable">
    <vt:lpwstr>8419801.1</vt:lpwstr>
  </property>
</Properties>
</file>